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281EE420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BF4CB5">
        <w:rPr>
          <w:rFonts w:asciiTheme="minorHAnsi" w:hAnsiTheme="minorHAnsi"/>
          <w:b/>
          <w:color w:val="000000" w:themeColor="text1"/>
        </w:rPr>
        <w:t>2</w:t>
      </w:r>
      <w:r w:rsidR="00CF34A5">
        <w:rPr>
          <w:rFonts w:asciiTheme="minorHAnsi" w:hAnsiTheme="minorHAnsi"/>
          <w:b/>
          <w:color w:val="000000" w:themeColor="text1"/>
        </w:rPr>
        <w:t xml:space="preserve">: </w:t>
      </w:r>
      <w:r w:rsidRPr="00E81F48">
        <w:rPr>
          <w:rFonts w:asciiTheme="minorHAnsi" w:hAnsiTheme="minorHAnsi"/>
          <w:b/>
          <w:color w:val="000000" w:themeColor="text1"/>
        </w:rPr>
        <w:t>Classroom Environment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771998BD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Danielson Framework Component 2a</w:t>
            </w:r>
            <w:r w:rsidR="00CF34A5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Creating an Environment of Respect and Rapport</w:t>
            </w: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E170830" w14:textId="4DA9309F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1908C1">
        <w:rPr>
          <w:rFonts w:asciiTheme="minorHAnsi" w:hAnsiTheme="minorHAnsi"/>
          <w:b/>
          <w:bCs/>
          <w:color w:val="000000" w:themeColor="text1"/>
        </w:rPr>
        <w:t>In the Danielson Framewor</w:t>
      </w:r>
      <w:r w:rsidR="00B2778C" w:rsidRPr="001908C1">
        <w:rPr>
          <w:rFonts w:asciiTheme="minorHAnsi" w:hAnsiTheme="minorHAnsi"/>
          <w:b/>
          <w:bCs/>
          <w:color w:val="000000" w:themeColor="text1"/>
        </w:rPr>
        <w:t>k</w:t>
      </w:r>
      <w:r w:rsidR="00CF34A5">
        <w:rPr>
          <w:rFonts w:asciiTheme="minorHAnsi" w:hAnsiTheme="minorHAnsi"/>
          <w:b/>
          <w:bCs/>
          <w:color w:val="000000" w:themeColor="text1"/>
        </w:rPr>
        <w:t>,</w:t>
      </w:r>
      <w:r w:rsidR="00B2778C" w:rsidRPr="00B2778C">
        <w:rPr>
          <w:rFonts w:asciiTheme="minorHAnsi" w:hAnsiTheme="minorHAnsi"/>
          <w:color w:val="000000" w:themeColor="text1"/>
        </w:rPr>
        <w:t xml:space="preserve"> </w:t>
      </w:r>
      <w:r w:rsidR="00F16A6C">
        <w:rPr>
          <w:rFonts w:asciiTheme="minorHAnsi" w:hAnsiTheme="minorHAnsi"/>
          <w:b/>
          <w:bCs/>
          <w:color w:val="000000" w:themeColor="text1"/>
        </w:rPr>
        <w:t>creating an</w:t>
      </w:r>
      <w:r w:rsidR="004E235A" w:rsidRPr="00B2778C">
        <w:rPr>
          <w:rFonts w:asciiTheme="minorHAnsi" w:hAnsiTheme="minorHAnsi"/>
          <w:b/>
          <w:bCs/>
          <w:color w:val="000000" w:themeColor="text1"/>
        </w:rPr>
        <w:t xml:space="preserve"> environment of respect and rapport is essential to student success</w:t>
      </w:r>
      <w:r w:rsidR="00417F0D" w:rsidRPr="00B2778C">
        <w:rPr>
          <w:rFonts w:asciiTheme="minorHAnsi" w:hAnsiTheme="minorHAnsi"/>
          <w:b/>
          <w:bCs/>
          <w:color w:val="000000" w:themeColor="text1"/>
        </w:rPr>
        <w:t xml:space="preserve"> (2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>a)</w:t>
      </w:r>
      <w:r w:rsidR="00CF34A5">
        <w:rPr>
          <w:rFonts w:asciiTheme="minorHAnsi" w:hAnsiTheme="minorHAnsi"/>
          <w:b/>
          <w:bCs/>
          <w:color w:val="000000" w:themeColor="text1"/>
        </w:rPr>
        <w:t>.</w:t>
      </w:r>
      <w:r w:rsidR="004E235A" w:rsidRPr="00B2778C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2778C">
        <w:rPr>
          <w:rFonts w:asciiTheme="minorHAnsi" w:hAnsiTheme="minorHAnsi"/>
          <w:b/>
          <w:bCs/>
          <w:color w:val="000000" w:themeColor="text1"/>
        </w:rPr>
        <w:t>The</w:t>
      </w:r>
      <w:r w:rsidR="00725881" w:rsidRPr="00B2778C">
        <w:rPr>
          <w:rFonts w:asciiTheme="minorHAnsi" w:hAnsiTheme="minorHAnsi"/>
          <w:b/>
          <w:bCs/>
          <w:color w:val="000000" w:themeColor="text1"/>
        </w:rPr>
        <w:t xml:space="preserve"> quality of learning environments is as important online as it is face</w:t>
      </w:r>
      <w:r w:rsidR="00CF34A5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25881" w:rsidRPr="00B2778C">
        <w:rPr>
          <w:rFonts w:asciiTheme="minorHAnsi" w:hAnsiTheme="minorHAnsi"/>
          <w:b/>
          <w:bCs/>
          <w:color w:val="000000" w:themeColor="text1"/>
        </w:rPr>
        <w:t>to</w:t>
      </w:r>
      <w:r w:rsidR="00CF34A5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25881" w:rsidRPr="00B2778C">
        <w:rPr>
          <w:rFonts w:asciiTheme="minorHAnsi" w:hAnsiTheme="minorHAnsi"/>
          <w:b/>
          <w:bCs/>
          <w:color w:val="000000" w:themeColor="text1"/>
        </w:rPr>
        <w:t>face.</w:t>
      </w:r>
      <w:r w:rsidR="00C152A9" w:rsidRPr="00B2778C">
        <w:rPr>
          <w:rFonts w:asciiTheme="minorHAnsi" w:hAnsiTheme="minorHAnsi"/>
          <w:b/>
          <w:bCs/>
          <w:color w:val="000000" w:themeColor="text1"/>
        </w:rPr>
        <w:t xml:space="preserve"> Community building and modeling of positive relationships may seem more difficult when there is less face-to-face time</w:t>
      </w:r>
      <w:r w:rsidR="00CF34A5">
        <w:rPr>
          <w:rFonts w:asciiTheme="minorHAnsi" w:hAnsiTheme="minorHAnsi"/>
          <w:b/>
          <w:bCs/>
          <w:color w:val="000000" w:themeColor="text1"/>
        </w:rPr>
        <w:t>,</w:t>
      </w:r>
      <w:r w:rsidR="00C152A9" w:rsidRPr="00B2778C">
        <w:rPr>
          <w:rFonts w:asciiTheme="minorHAnsi" w:hAnsiTheme="minorHAnsi"/>
          <w:b/>
          <w:bCs/>
          <w:color w:val="000000" w:themeColor="text1"/>
        </w:rPr>
        <w:t xml:space="preserve"> so teachers </w:t>
      </w:r>
      <w:r w:rsidR="00F16A6C">
        <w:rPr>
          <w:rFonts w:asciiTheme="minorHAnsi" w:hAnsiTheme="minorHAnsi"/>
          <w:b/>
          <w:bCs/>
          <w:color w:val="000000" w:themeColor="text1"/>
        </w:rPr>
        <w:t>are encourage</w:t>
      </w:r>
      <w:r w:rsidR="00CF34A5">
        <w:rPr>
          <w:rFonts w:asciiTheme="minorHAnsi" w:hAnsiTheme="minorHAnsi"/>
          <w:b/>
          <w:bCs/>
          <w:color w:val="000000" w:themeColor="text1"/>
        </w:rPr>
        <w:t>d</w:t>
      </w:r>
      <w:r w:rsidR="00F16A6C">
        <w:rPr>
          <w:rFonts w:asciiTheme="minorHAnsi" w:hAnsiTheme="minorHAnsi"/>
          <w:b/>
          <w:bCs/>
          <w:color w:val="000000" w:themeColor="text1"/>
        </w:rPr>
        <w:t xml:space="preserve"> to </w:t>
      </w:r>
      <w:r w:rsidR="00C152A9" w:rsidRPr="00B2778C">
        <w:rPr>
          <w:rFonts w:asciiTheme="minorHAnsi" w:hAnsiTheme="minorHAnsi"/>
          <w:b/>
          <w:bCs/>
          <w:color w:val="000000" w:themeColor="text1"/>
        </w:rPr>
        <w:t>focus even more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 on strategies, lessons</w:t>
      </w:r>
      <w:r w:rsidR="00CF34A5">
        <w:rPr>
          <w:rFonts w:asciiTheme="minorHAnsi" w:hAnsiTheme="minorHAnsi"/>
          <w:b/>
          <w:bCs/>
          <w:color w:val="000000" w:themeColor="text1"/>
        </w:rPr>
        <w:t>,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 and activities that build on the establishment of a positive work environment at the beginning of the year and continue to embed them throughout the school year.</w:t>
      </w:r>
      <w:r w:rsidRPr="00B2778C">
        <w:rPr>
          <w:rFonts w:asciiTheme="minorHAnsi" w:hAnsiTheme="minorHAnsi"/>
          <w:color w:val="000000" w:themeColor="text1"/>
        </w:rPr>
        <w:t xml:space="preserve"> </w:t>
      </w:r>
    </w:p>
    <w:p w14:paraId="5C1FE660" w14:textId="4ED5C6F8" w:rsidR="001908C1" w:rsidRDefault="001908C1" w:rsidP="00E81F48">
      <w:pPr>
        <w:rPr>
          <w:rFonts w:asciiTheme="minorHAnsi" w:hAnsiTheme="minorHAnsi"/>
          <w:color w:val="000000" w:themeColor="text1"/>
        </w:rPr>
      </w:pPr>
    </w:p>
    <w:p w14:paraId="7A3EE69E" w14:textId="3815C8BC" w:rsidR="001908C1" w:rsidRP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350CF04F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C6BDC58" w14:textId="432D43FB" w:rsidR="00E81F48" w:rsidRPr="00B2778C" w:rsidRDefault="00E81F48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please respond to </w:t>
      </w:r>
      <w:r w:rsidR="00265E56" w:rsidRPr="00B2778C">
        <w:rPr>
          <w:rFonts w:asciiTheme="minorHAnsi" w:hAnsiTheme="minorHAnsi"/>
          <w:b/>
          <w:bCs/>
          <w:color w:val="000000" w:themeColor="text1"/>
        </w:rPr>
        <w:t>two of the four questions below.</w:t>
      </w:r>
    </w:p>
    <w:p w14:paraId="0FD0C8EC" w14:textId="2FEEE152" w:rsidR="00EB1C61" w:rsidRDefault="001464C2" w:rsidP="00E81F48">
      <w:pPr>
        <w:ind w:left="1440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1.</w:t>
      </w:r>
      <w:r w:rsidR="00E81F48" w:rsidRPr="008248CD">
        <w:rPr>
          <w:rFonts w:asciiTheme="minorHAnsi" w:hAnsiTheme="minorHAnsi"/>
          <w:i/>
          <w:color w:val="000000" w:themeColor="text1"/>
        </w:rPr>
        <w:t xml:space="preserve"> In what ways do students interact with each other</w:t>
      </w:r>
      <w:r w:rsidR="00B2778C">
        <w:rPr>
          <w:rFonts w:asciiTheme="minorHAnsi" w:hAnsiTheme="minorHAnsi"/>
          <w:b/>
          <w:bCs/>
          <w:iCs/>
          <w:color w:val="000000" w:themeColor="text1"/>
        </w:rPr>
        <w:t xml:space="preserve"> and</w:t>
      </w:r>
      <w:r w:rsidR="00E81F48" w:rsidRPr="008248CD">
        <w:rPr>
          <w:rFonts w:asciiTheme="minorHAnsi" w:hAnsiTheme="minorHAnsi"/>
          <w:i/>
          <w:color w:val="000000" w:themeColor="text1"/>
        </w:rPr>
        <w:t xml:space="preserve"> with the teacher?</w:t>
      </w:r>
    </w:p>
    <w:p w14:paraId="14DC915A" w14:textId="6EBB29E3" w:rsidR="00E81F48" w:rsidRDefault="001464C2" w:rsidP="00E81F48">
      <w:pPr>
        <w:ind w:left="1440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2.</w:t>
      </w:r>
      <w:r w:rsidR="00CF34A5">
        <w:rPr>
          <w:rFonts w:asciiTheme="minorHAnsi" w:hAnsiTheme="minorHAnsi"/>
          <w:i/>
          <w:color w:val="000000" w:themeColor="text1"/>
        </w:rPr>
        <w:t xml:space="preserve"> </w:t>
      </w:r>
      <w:r w:rsidR="00EB1C61">
        <w:rPr>
          <w:rFonts w:asciiTheme="minorHAnsi" w:hAnsiTheme="minorHAnsi"/>
          <w:i/>
          <w:color w:val="000000" w:themeColor="text1"/>
        </w:rPr>
        <w:t>How is the</w:t>
      </w:r>
      <w:r w:rsidR="00F16A6C">
        <w:rPr>
          <w:rFonts w:asciiTheme="minorHAnsi" w:hAnsiTheme="minorHAnsi"/>
          <w:i/>
          <w:color w:val="000000" w:themeColor="text1"/>
        </w:rPr>
        <w:t xml:space="preserve"> </w:t>
      </w:r>
      <w:r>
        <w:rPr>
          <w:rFonts w:asciiTheme="minorHAnsi" w:hAnsiTheme="minorHAnsi"/>
          <w:i/>
          <w:color w:val="000000" w:themeColor="text1"/>
        </w:rPr>
        <w:t>cooperating</w:t>
      </w:r>
      <w:r w:rsidR="00EB1C61">
        <w:rPr>
          <w:rFonts w:asciiTheme="minorHAnsi" w:hAnsiTheme="minorHAnsi"/>
          <w:i/>
          <w:color w:val="000000" w:themeColor="text1"/>
        </w:rPr>
        <w:t xml:space="preserve"> teacher nurturing and celebrating relationships with the students?</w:t>
      </w:r>
      <w:r w:rsidR="00E81F48" w:rsidRPr="008248CD">
        <w:rPr>
          <w:rFonts w:asciiTheme="minorHAnsi" w:hAnsiTheme="minorHAnsi"/>
          <w:i/>
          <w:color w:val="000000" w:themeColor="text1"/>
        </w:rPr>
        <w:t xml:space="preserve"> </w:t>
      </w:r>
    </w:p>
    <w:p w14:paraId="5C0CFEE0" w14:textId="1D42D969" w:rsidR="008248CD" w:rsidRDefault="001464C2" w:rsidP="00E81F48">
      <w:pPr>
        <w:ind w:left="1440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3.</w:t>
      </w:r>
      <w:r w:rsidR="00CF34A5">
        <w:rPr>
          <w:rFonts w:asciiTheme="minorHAnsi" w:hAnsiTheme="minorHAnsi"/>
          <w:i/>
          <w:color w:val="000000" w:themeColor="text1"/>
        </w:rPr>
        <w:t xml:space="preserve"> </w:t>
      </w:r>
      <w:r w:rsidR="00EB1C61">
        <w:rPr>
          <w:rFonts w:asciiTheme="minorHAnsi" w:hAnsiTheme="minorHAnsi"/>
          <w:i/>
          <w:color w:val="000000" w:themeColor="text1"/>
        </w:rPr>
        <w:t>How is the cooperating teacher establishing a sense of community?</w:t>
      </w:r>
    </w:p>
    <w:p w14:paraId="4BF046EA" w14:textId="289B5302" w:rsidR="00EB1C61" w:rsidRDefault="001464C2" w:rsidP="00E81F48">
      <w:pPr>
        <w:ind w:left="1440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4.</w:t>
      </w:r>
      <w:r w:rsidR="00CF34A5">
        <w:rPr>
          <w:rFonts w:asciiTheme="minorHAnsi" w:hAnsiTheme="minorHAnsi"/>
          <w:i/>
          <w:color w:val="000000" w:themeColor="text1"/>
        </w:rPr>
        <w:t xml:space="preserve"> </w:t>
      </w:r>
      <w:r w:rsidR="00EB1C61">
        <w:rPr>
          <w:rFonts w:asciiTheme="minorHAnsi" w:hAnsiTheme="minorHAnsi"/>
          <w:i/>
          <w:color w:val="000000" w:themeColor="text1"/>
        </w:rPr>
        <w:t>In what ways are the students playing an active role in creating a positive learning environment?</w:t>
      </w:r>
    </w:p>
    <w:p w14:paraId="2AFB6262" w14:textId="77777777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2FF6B3E4" w14:textId="0A75045A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0FFDAF44" w14:textId="6F3F50D4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CF34A5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questions</w:t>
      </w:r>
      <w:r w:rsidR="00CF34A5">
        <w:rPr>
          <w:rFonts w:asciiTheme="minorHAnsi" w:hAnsiTheme="minorHAnsi"/>
          <w:color w:val="000000" w:themeColor="text1"/>
        </w:rPr>
        <w:t>;</w:t>
      </w:r>
    </w:p>
    <w:p w14:paraId="12397037" w14:textId="6B0CCB06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CF34A5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>best practices for the identified component</w:t>
      </w:r>
      <w:r w:rsidR="00CF34A5">
        <w:rPr>
          <w:rFonts w:asciiTheme="minorHAnsi" w:hAnsiTheme="minorHAnsi"/>
          <w:color w:val="000000" w:themeColor="text1"/>
        </w:rPr>
        <w:t>;</w:t>
      </w:r>
    </w:p>
    <w:p w14:paraId="40929D69" w14:textId="1C81D5F7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CF34A5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CF34A5">
        <w:rPr>
          <w:rFonts w:asciiTheme="minorHAnsi" w:hAnsiTheme="minorHAnsi"/>
          <w:color w:val="000000" w:themeColor="text1"/>
        </w:rPr>
        <w:t>; and</w:t>
      </w:r>
    </w:p>
    <w:p w14:paraId="53AD9E29" w14:textId="3BFA13A3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CF34A5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CF34A5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0D97D957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315AB6D3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1477EAED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5496F27C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688C" w14:textId="77777777" w:rsidR="009C70E9" w:rsidRDefault="009C70E9">
      <w:r>
        <w:separator/>
      </w:r>
    </w:p>
  </w:endnote>
  <w:endnote w:type="continuationSeparator" w:id="0">
    <w:p w14:paraId="3C4F33BB" w14:textId="77777777" w:rsidR="009C70E9" w:rsidRDefault="009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D3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C1E4" w14:textId="77777777" w:rsidR="009C70E9" w:rsidRDefault="009C70E9">
      <w:r>
        <w:separator/>
      </w:r>
    </w:p>
  </w:footnote>
  <w:footnote w:type="continuationSeparator" w:id="0">
    <w:p w14:paraId="425FD257" w14:textId="77777777" w:rsidR="009C70E9" w:rsidRDefault="009C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975ED"/>
    <w:rsid w:val="000C5468"/>
    <w:rsid w:val="0011477F"/>
    <w:rsid w:val="0011548F"/>
    <w:rsid w:val="001464C2"/>
    <w:rsid w:val="00170125"/>
    <w:rsid w:val="00180BEB"/>
    <w:rsid w:val="001906B9"/>
    <w:rsid w:val="001908C1"/>
    <w:rsid w:val="001D24C5"/>
    <w:rsid w:val="001F6A37"/>
    <w:rsid w:val="001F73D8"/>
    <w:rsid w:val="002403EB"/>
    <w:rsid w:val="00265E56"/>
    <w:rsid w:val="002713A4"/>
    <w:rsid w:val="00296376"/>
    <w:rsid w:val="00306BF9"/>
    <w:rsid w:val="00307BB1"/>
    <w:rsid w:val="0031019A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B5865"/>
    <w:rsid w:val="004D5398"/>
    <w:rsid w:val="004E1BAA"/>
    <w:rsid w:val="004E235A"/>
    <w:rsid w:val="00516652"/>
    <w:rsid w:val="00583BC2"/>
    <w:rsid w:val="00604F12"/>
    <w:rsid w:val="00616665"/>
    <w:rsid w:val="006644C7"/>
    <w:rsid w:val="0066558E"/>
    <w:rsid w:val="006724E4"/>
    <w:rsid w:val="006764AE"/>
    <w:rsid w:val="006B5B63"/>
    <w:rsid w:val="006C49F1"/>
    <w:rsid w:val="006D75A2"/>
    <w:rsid w:val="00725881"/>
    <w:rsid w:val="00743A4C"/>
    <w:rsid w:val="00784989"/>
    <w:rsid w:val="007C4E53"/>
    <w:rsid w:val="007E347D"/>
    <w:rsid w:val="008248CD"/>
    <w:rsid w:val="00833C2E"/>
    <w:rsid w:val="00841F0A"/>
    <w:rsid w:val="00892373"/>
    <w:rsid w:val="008A1872"/>
    <w:rsid w:val="008E3E37"/>
    <w:rsid w:val="008F324C"/>
    <w:rsid w:val="009062AB"/>
    <w:rsid w:val="00913A57"/>
    <w:rsid w:val="00974D20"/>
    <w:rsid w:val="0098455C"/>
    <w:rsid w:val="00984800"/>
    <w:rsid w:val="00997310"/>
    <w:rsid w:val="009A38DA"/>
    <w:rsid w:val="009C70E9"/>
    <w:rsid w:val="009E72E8"/>
    <w:rsid w:val="00A26816"/>
    <w:rsid w:val="00A67D6D"/>
    <w:rsid w:val="00A75FDA"/>
    <w:rsid w:val="00AC038A"/>
    <w:rsid w:val="00AC2FA7"/>
    <w:rsid w:val="00AC63CE"/>
    <w:rsid w:val="00AE082F"/>
    <w:rsid w:val="00AE421E"/>
    <w:rsid w:val="00B2778C"/>
    <w:rsid w:val="00BB3ACA"/>
    <w:rsid w:val="00BD4331"/>
    <w:rsid w:val="00BF4CB5"/>
    <w:rsid w:val="00C152A9"/>
    <w:rsid w:val="00C3144A"/>
    <w:rsid w:val="00C54766"/>
    <w:rsid w:val="00C63462"/>
    <w:rsid w:val="00C72EDA"/>
    <w:rsid w:val="00CC0FC3"/>
    <w:rsid w:val="00CC3D66"/>
    <w:rsid w:val="00CF34A5"/>
    <w:rsid w:val="00D31575"/>
    <w:rsid w:val="00D36174"/>
    <w:rsid w:val="00D51FA8"/>
    <w:rsid w:val="00D86BA2"/>
    <w:rsid w:val="00D94B2E"/>
    <w:rsid w:val="00DA664D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657B"/>
    <w:rsid w:val="00F16A6C"/>
    <w:rsid w:val="00F21BC5"/>
    <w:rsid w:val="00F316FB"/>
    <w:rsid w:val="00F87333"/>
    <w:rsid w:val="00F963E8"/>
    <w:rsid w:val="00FB3BB8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1968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2020-08-28T14:48:00Z</dcterms:created>
  <dcterms:modified xsi:type="dcterms:W3CDTF">2020-08-28T14:48:00Z</dcterms:modified>
</cp:coreProperties>
</file>