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44" w:rsidRDefault="00A17F44" w:rsidP="00A17F44">
      <w:pPr>
        <w:jc w:val="center"/>
        <w:rPr>
          <w:b/>
        </w:rPr>
      </w:pPr>
      <w:r>
        <w:rPr>
          <w:b/>
        </w:rPr>
        <w:t>General Procedure</w:t>
      </w:r>
    </w:p>
    <w:p w:rsidR="00A17F44" w:rsidRDefault="00A17F44" w:rsidP="00A17F44">
      <w:pPr>
        <w:rPr>
          <w:b/>
          <w:bCs/>
          <w:sz w:val="20"/>
        </w:rPr>
      </w:pPr>
    </w:p>
    <w:p w:rsidR="00A17F44" w:rsidRDefault="00A17F44" w:rsidP="00A17F44">
      <w:pPr>
        <w:rPr>
          <w:b/>
          <w:bCs/>
          <w:sz w:val="20"/>
        </w:rPr>
      </w:pPr>
    </w:p>
    <w:p w:rsidR="00A17F44" w:rsidRDefault="00A17F44" w:rsidP="00A17F44">
      <w:r w:rsidRPr="00B22993">
        <w:t xml:space="preserve">All teacher candidates will be </w:t>
      </w:r>
      <w:r>
        <w:t>held to</w:t>
      </w:r>
      <w:r w:rsidRPr="00B22993">
        <w:t xml:space="preserve"> the </w:t>
      </w:r>
      <w:r>
        <w:t>aforementioned fundamental and additional expectations</w:t>
      </w:r>
      <w:r w:rsidRPr="00B22993">
        <w:t>, but only those candidates who have engaged in behaviors that suggest a negative disposition</w:t>
      </w:r>
      <w:r>
        <w:t xml:space="preserve"> </w:t>
      </w:r>
      <w:r w:rsidRPr="00B22993">
        <w:t>should be reported</w:t>
      </w:r>
      <w:r>
        <w:t xml:space="preserve"> by </w:t>
      </w:r>
      <w:smartTag w:uri="urn:schemas-microsoft-com:office:smarttags" w:element="place">
        <w:smartTag w:uri="urn:schemas-microsoft-com:office:smarttags" w:element="PlaceName">
          <w:r>
            <w:t>Faculty</w:t>
          </w:r>
        </w:smartTag>
        <w:smartTag w:uri="urn:schemas-microsoft-com:office:smarttags" w:element="PlaceName">
          <w:r>
            <w:t>/Staff/</w:t>
          </w:r>
        </w:smartTag>
        <w:smartTag w:uri="urn:schemas-microsoft-com:office:smarttags" w:element="PlaceType">
          <w:r>
            <w:t>School</w:t>
          </w:r>
        </w:smartTag>
      </w:smartTag>
      <w:r>
        <w:t xml:space="preserve"> Personnel</w:t>
      </w:r>
      <w:r w:rsidRPr="00B22993">
        <w:t>.</w:t>
      </w:r>
      <w:r>
        <w:t xml:space="preserve">  </w:t>
      </w:r>
    </w:p>
    <w:p w:rsidR="00A17F44" w:rsidRDefault="00A17F44" w:rsidP="00A17F44"/>
    <w:p w:rsidR="00A17F44" w:rsidRDefault="00A17F44" w:rsidP="00A17F44">
      <w:r>
        <w:t xml:space="preserve">Faculty/Staff/School Personnel </w:t>
      </w:r>
      <w:r w:rsidR="00D9571A">
        <w:t xml:space="preserve">involved in the Professional Education sequence of courses and placements </w:t>
      </w:r>
      <w:r>
        <w:t>will complete a disposition concern form and discuss the concern with the teacher candidate.  The teacher candidate will sign and date the form, which will be sent to School and Community Experiences.</w:t>
      </w:r>
    </w:p>
    <w:p w:rsidR="00A17F44" w:rsidRDefault="00A17F44" w:rsidP="00A17F44"/>
    <w:p w:rsidR="00A17F44" w:rsidRDefault="00A17F44" w:rsidP="00A17F44">
      <w:r>
        <w:t xml:space="preserve">School and Community Experiences (SCE) will send a copy of the concern to the teacher candidate’s academic advisor.  It is the responsibility of SCE to investigate and monitor the dispositional progress of the teacher candidate.  </w:t>
      </w:r>
    </w:p>
    <w:p w:rsidR="00A17F44" w:rsidRDefault="00A17F44" w:rsidP="00A17F44"/>
    <w:p w:rsidR="00A17F44" w:rsidRDefault="00A17F44" w:rsidP="00A17F44">
      <w:pPr>
        <w:jc w:val="center"/>
        <w:rPr>
          <w:b/>
        </w:rPr>
      </w:pPr>
    </w:p>
    <w:p w:rsidR="0099039B" w:rsidRDefault="0099039B" w:rsidP="009903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>Attendance policy</w:t>
      </w:r>
    </w:p>
    <w:p w:rsidR="0099039B" w:rsidRDefault="0099039B" w:rsidP="009903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The Council on Teacher (</w:t>
      </w:r>
      <w:proofErr w:type="spellStart"/>
      <w:r>
        <w:rPr>
          <w:rFonts w:ascii="Times New Roman" w:hAnsi="Times New Roman"/>
          <w:color w:val="000000"/>
        </w:rPr>
        <w:t>CoTE</w:t>
      </w:r>
      <w:proofErr w:type="spellEnd"/>
      <w:r>
        <w:rPr>
          <w:rFonts w:ascii="Times New Roman" w:hAnsi="Times New Roman"/>
          <w:color w:val="000000"/>
        </w:rPr>
        <w:t>) has adopted Professional Dispositions of Pre-Service Teachers for all University students in licensure programs.  Two of these dispositions--Commitment to Collaboration, Community and Reflective Practice and Professionalism--are negatively impacted by excessive absences from courses and field placements.  As such, upon a second absence from a semester long course or field placement, instructors and/or supervisors will report a student's attendance using a Dispositions Concern Form and submit it to the office of School and Community Experiences.  The Director of SCE, as the College dispositions officer, will review and respond to each report; responses may include: meeting with the student, developing an attendance contract, beginning formal remediation proceedings, and/or recommending removal from the licensure program.  </w:t>
      </w:r>
    </w:p>
    <w:p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 xml:space="preserve">The full list of dispositions, their descriptions, and the relationship to the Danielson Framework for Teaching can be found at: </w:t>
      </w:r>
      <w:hyperlink r:id="rId5" w:history="1">
        <w:r>
          <w:rPr>
            <w:rStyle w:val="Hyperlink"/>
            <w:rFonts w:ascii="Times New Roman" w:hAnsi="Times New Roman"/>
            <w:color w:val="386EFF"/>
          </w:rPr>
          <w:t>education.illinois.edu/sce/elementary-program/student-information</w:t>
        </w:r>
      </w:hyperlink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18376A"/>
        </w:rPr>
        <w:t xml:space="preserve"> </w:t>
      </w:r>
    </w:p>
    <w:p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18376A"/>
        </w:rPr>
        <w:t> </w:t>
      </w:r>
    </w:p>
    <w:p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1) Attendance will be taken for each class. It is the responsibility of student to sign in per course procedure established by course instructor</w:t>
      </w:r>
    </w:p>
    <w:p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2) Appropriate documentation of class absence is determined by course instructor.  Upon the second absence from a 16-week course, the instructor will submit a report using the Dispositions Concern Form per College policy</w:t>
      </w:r>
    </w:p>
    <w:p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3) Make up missed work (and credit) is determined by the individual course instructor</w:t>
      </w:r>
    </w:p>
    <w:p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4) Impact of absence on course grade will be determined by course instructor</w:t>
      </w:r>
    </w:p>
    <w:p w:rsidR="0099039B" w:rsidRDefault="0099039B" w:rsidP="0099039B">
      <w:pPr>
        <w:rPr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99039B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D</w:t>
      </w:r>
      <w:r w:rsidRPr="00D23A8E">
        <w:rPr>
          <w:b/>
        </w:rPr>
        <w:t>isposition Concern Form</w:t>
      </w:r>
    </w:p>
    <w:p w:rsidR="00A17F44" w:rsidRPr="00D23A8E" w:rsidRDefault="00A17F44" w:rsidP="00A17F44">
      <w:pPr>
        <w:ind w:left="4320" w:firstLine="720"/>
        <w:jc w:val="both"/>
        <w:rPr>
          <w:b/>
          <w:sz w:val="20"/>
        </w:rPr>
      </w:pPr>
      <w:r w:rsidRPr="00D23A8E">
        <w:rPr>
          <w:b/>
          <w:sz w:val="20"/>
        </w:rPr>
        <w:t>DATE</w:t>
      </w:r>
      <w:proofErr w:type="gramStart"/>
      <w:r>
        <w:rPr>
          <w:b/>
          <w:sz w:val="20"/>
        </w:rPr>
        <w:t>:</w:t>
      </w:r>
      <w:r w:rsidRPr="00D23A8E">
        <w:rPr>
          <w:b/>
          <w:sz w:val="20"/>
        </w:rPr>
        <w:t>_</w:t>
      </w:r>
      <w:proofErr w:type="gramEnd"/>
      <w:r w:rsidRPr="00D23A8E">
        <w:rPr>
          <w:b/>
          <w:sz w:val="20"/>
        </w:rPr>
        <w:t>________________________</w:t>
      </w:r>
      <w:r>
        <w:rPr>
          <w:b/>
          <w:sz w:val="20"/>
        </w:rPr>
        <w:t>___________</w:t>
      </w:r>
    </w:p>
    <w:p w:rsidR="00A17F44" w:rsidRPr="00D23A8E" w:rsidRDefault="00A17F44" w:rsidP="00A17F44">
      <w:pPr>
        <w:rPr>
          <w:b/>
          <w:sz w:val="20"/>
        </w:rPr>
      </w:pPr>
    </w:p>
    <w:p w:rsidR="00A17F44" w:rsidRPr="00D23A8E" w:rsidRDefault="00A17F44" w:rsidP="00A17F44">
      <w:pPr>
        <w:rPr>
          <w:b/>
          <w:sz w:val="20"/>
        </w:rPr>
      </w:pPr>
      <w:r w:rsidRPr="00D23A8E">
        <w:rPr>
          <w:b/>
          <w:sz w:val="20"/>
        </w:rPr>
        <w:t>Student:  ________________________________</w:t>
      </w:r>
      <w:r>
        <w:rPr>
          <w:b/>
          <w:sz w:val="20"/>
        </w:rPr>
        <w:t>__________</w:t>
      </w:r>
      <w:r w:rsidRPr="00D23A8E">
        <w:rPr>
          <w:b/>
          <w:sz w:val="20"/>
        </w:rPr>
        <w:t xml:space="preserve">    Major</w:t>
      </w:r>
      <w:proofErr w:type="gramStart"/>
      <w:r w:rsidRPr="00D23A8E">
        <w:rPr>
          <w:b/>
          <w:sz w:val="20"/>
        </w:rPr>
        <w:t>:_</w:t>
      </w:r>
      <w:proofErr w:type="gramEnd"/>
      <w:r w:rsidRPr="00D23A8E">
        <w:rPr>
          <w:b/>
          <w:sz w:val="20"/>
        </w:rPr>
        <w:t>_____________________________</w:t>
      </w:r>
      <w:r>
        <w:rPr>
          <w:b/>
          <w:sz w:val="20"/>
        </w:rPr>
        <w:t>____</w:t>
      </w:r>
    </w:p>
    <w:p w:rsidR="00A17F44" w:rsidRPr="00D23A8E" w:rsidRDefault="00A17F44" w:rsidP="00A17F44">
      <w:pPr>
        <w:rPr>
          <w:sz w:val="20"/>
        </w:rPr>
      </w:pPr>
    </w:p>
    <w:p w:rsidR="00A17F44" w:rsidRPr="00D23A8E" w:rsidRDefault="00A17F44" w:rsidP="00A17F44">
      <w:pPr>
        <w:rPr>
          <w:b/>
          <w:sz w:val="20"/>
        </w:rPr>
      </w:pPr>
      <w:r w:rsidRPr="00D23A8E">
        <w:rPr>
          <w:b/>
          <w:sz w:val="20"/>
        </w:rPr>
        <w:t xml:space="preserve">Reporting </w:t>
      </w:r>
      <w:smartTag w:uri="urn:schemas-microsoft-com:office:smarttags" w:element="place">
        <w:smartTag w:uri="urn:schemas-microsoft-com:office:smarttags" w:element="PlaceName">
          <w:r w:rsidRPr="00D23A8E">
            <w:rPr>
              <w:b/>
              <w:sz w:val="20"/>
            </w:rPr>
            <w:t>Faculty</w:t>
          </w:r>
        </w:smartTag>
        <w:smartTag w:uri="urn:schemas-microsoft-com:office:smarttags" w:element="PlaceName">
          <w:r w:rsidRPr="00D23A8E">
            <w:rPr>
              <w:b/>
              <w:sz w:val="20"/>
            </w:rPr>
            <w:t>/Staff/</w:t>
          </w:r>
        </w:smartTag>
        <w:r w:rsidRPr="00D23A8E">
          <w:rPr>
            <w:b/>
            <w:sz w:val="20"/>
          </w:rPr>
          <w:t xml:space="preserve"> </w:t>
        </w:r>
        <w:smartTag w:uri="urn:schemas-microsoft-com:office:smarttags" w:element="PlaceType">
          <w:r w:rsidRPr="00D23A8E">
            <w:rPr>
              <w:b/>
              <w:sz w:val="20"/>
            </w:rPr>
            <w:t>School</w:t>
          </w:r>
        </w:smartTag>
      </w:smartTag>
      <w:r w:rsidRPr="00D23A8E">
        <w:rPr>
          <w:b/>
          <w:sz w:val="20"/>
        </w:rPr>
        <w:t xml:space="preserve"> Personnel:  _________________________________________</w:t>
      </w:r>
      <w:r>
        <w:rPr>
          <w:b/>
          <w:sz w:val="20"/>
        </w:rPr>
        <w:t>______________</w:t>
      </w:r>
    </w:p>
    <w:p w:rsidR="00A17F44" w:rsidRPr="00D23A8E" w:rsidRDefault="00A17F44" w:rsidP="00A17F44">
      <w:pPr>
        <w:rPr>
          <w:sz w:val="20"/>
        </w:rPr>
      </w:pP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  <w:t>Name/Title</w:t>
      </w:r>
    </w:p>
    <w:p w:rsidR="00A17F44" w:rsidRPr="00523F73" w:rsidRDefault="00A17F44" w:rsidP="00A17F44">
      <w:pPr>
        <w:rPr>
          <w:b/>
          <w:sz w:val="20"/>
        </w:rPr>
      </w:pPr>
      <w:r w:rsidRPr="00523F73">
        <w:rPr>
          <w:b/>
          <w:sz w:val="20"/>
        </w:rPr>
        <w:t>General Procedure:</w:t>
      </w:r>
    </w:p>
    <w:p w:rsidR="00A17F44" w:rsidRPr="00523F73" w:rsidRDefault="00A17F44" w:rsidP="00A17F44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523F73">
            <w:rPr>
              <w:sz w:val="20"/>
            </w:rPr>
            <w:t>Faculty</w:t>
          </w:r>
        </w:smartTag>
        <w:smartTag w:uri="urn:schemas-microsoft-com:office:smarttags" w:element="PlaceName">
          <w:r w:rsidRPr="00523F73">
            <w:rPr>
              <w:sz w:val="20"/>
            </w:rPr>
            <w:t>/Staff/</w:t>
          </w:r>
        </w:smartTag>
        <w:smartTag w:uri="urn:schemas-microsoft-com:office:smarttags" w:element="PlaceType">
          <w:r w:rsidRPr="00523F73">
            <w:rPr>
              <w:sz w:val="20"/>
            </w:rPr>
            <w:t>School</w:t>
          </w:r>
        </w:smartTag>
      </w:smartTag>
      <w:r w:rsidRPr="00523F73">
        <w:rPr>
          <w:sz w:val="20"/>
        </w:rPr>
        <w:t xml:space="preserve"> Personnel will report disposition concerns after discussing the concern with the teacher candidate.  The Faculty/Staff/School Personnel individual will complete the Disposition Concern Form,</w:t>
      </w:r>
      <w:r>
        <w:rPr>
          <w:sz w:val="20"/>
        </w:rPr>
        <w:t xml:space="preserve"> discuss the situation with the student, both will </w:t>
      </w:r>
      <w:r w:rsidRPr="00523F73">
        <w:rPr>
          <w:sz w:val="20"/>
        </w:rPr>
        <w:t xml:space="preserve">sign and date the form, and send the original form to </w:t>
      </w:r>
      <w:r>
        <w:rPr>
          <w:sz w:val="20"/>
        </w:rPr>
        <w:t>School and Community</w:t>
      </w:r>
      <w:r w:rsidRPr="00523F73">
        <w:rPr>
          <w:sz w:val="20"/>
        </w:rPr>
        <w:t xml:space="preserve"> Experiences.</w:t>
      </w:r>
    </w:p>
    <w:p w:rsidR="00A17F44" w:rsidRPr="00523F73" w:rsidRDefault="00A17F44" w:rsidP="00A17F44">
      <w:pPr>
        <w:rPr>
          <w:sz w:val="20"/>
        </w:rPr>
      </w:pPr>
    </w:p>
    <w:p w:rsidR="00A17F44" w:rsidRDefault="00A17F44" w:rsidP="00A17F44">
      <w:r>
        <w:rPr>
          <w:sz w:val="20"/>
        </w:rPr>
        <w:t>School and Community Experiences (S</w:t>
      </w:r>
      <w:r w:rsidRPr="00523F73">
        <w:rPr>
          <w:sz w:val="20"/>
        </w:rPr>
        <w:t xml:space="preserve">CE) will </w:t>
      </w:r>
      <w:r>
        <w:rPr>
          <w:sz w:val="20"/>
        </w:rPr>
        <w:t xml:space="preserve">retain </w:t>
      </w:r>
      <w:r w:rsidRPr="00523F73">
        <w:rPr>
          <w:sz w:val="20"/>
        </w:rPr>
        <w:t xml:space="preserve">a copy </w:t>
      </w:r>
      <w:r>
        <w:rPr>
          <w:sz w:val="20"/>
        </w:rPr>
        <w:t>in the student’s file</w:t>
      </w:r>
      <w:r w:rsidRPr="00523F73">
        <w:rPr>
          <w:sz w:val="20"/>
        </w:rPr>
        <w:t xml:space="preserve">.  It is the responsibility of </w:t>
      </w:r>
      <w:r>
        <w:rPr>
          <w:sz w:val="20"/>
        </w:rPr>
        <w:t>SCE to investigate and monitor the dispositional progress of the teacher candidate</w:t>
      </w:r>
      <w:r w:rsidRPr="00523F73">
        <w:rPr>
          <w:sz w:val="20"/>
        </w:rPr>
        <w:t xml:space="preserve">.  </w:t>
      </w:r>
    </w:p>
    <w:p w:rsidR="00A17F44" w:rsidRDefault="00A17F44" w:rsidP="00A17F4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6029325" cy="1546860"/>
                <wp:effectExtent l="9525" t="1143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44" w:rsidRDefault="00A17F44" w:rsidP="00A17F44">
                            <w:pPr>
                              <w:spacing w:line="360" w:lineRule="auto"/>
                            </w:pPr>
                            <w:r>
                              <w:t>Concer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pt;margin-top:5.4pt;width:474.7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">
                <v:textbox>
                  <w:txbxContent>
                    <w:p w:rsidR="00A17F44" w:rsidRDefault="00A17F44" w:rsidP="00A17F44">
                      <w:pPr>
                        <w:spacing w:line="360" w:lineRule="auto"/>
                      </w:pPr>
                      <w:r>
                        <w:t>Concer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42545</wp:posOffset>
                </wp:positionV>
                <wp:extent cx="6029325" cy="1814830"/>
                <wp:effectExtent l="9525" t="1397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44" w:rsidRDefault="00A17F44" w:rsidP="00A17F44">
                            <w:pPr>
                              <w:spacing w:line="360" w:lineRule="auto"/>
                            </w:pPr>
                            <w:r>
                              <w:t>Recommended Action:______________________________________________________________________________________________________________________________________________________________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17F44" w:rsidRDefault="00A17F44" w:rsidP="00A17F44">
                            <w:pPr>
                              <w:spacing w:line="360" w:lineRule="auto"/>
                            </w:pPr>
                          </w:p>
                          <w:p w:rsidR="00A17F44" w:rsidRDefault="00A17F44" w:rsidP="00A17F4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pt;margin-top:3.35pt;width:474.75pt;height:1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">
                <v:textbox>
                  <w:txbxContent>
                    <w:p w:rsidR="00A17F44" w:rsidRDefault="00A17F44" w:rsidP="00A17F44">
                      <w:pPr>
                        <w:spacing w:line="360" w:lineRule="auto"/>
                      </w:pPr>
                      <w:r>
                        <w:t>Recommended Action:______________________________________________________________________________________________________________________________________________________________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17F44" w:rsidRDefault="00A17F44" w:rsidP="00A17F44">
                      <w:pPr>
                        <w:spacing w:line="360" w:lineRule="auto"/>
                      </w:pPr>
                    </w:p>
                    <w:p w:rsidR="00A17F44" w:rsidRDefault="00A17F44" w:rsidP="00A17F44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>
      <w:pPr>
        <w:rPr>
          <w:sz w:val="20"/>
        </w:rPr>
      </w:pPr>
    </w:p>
    <w:p w:rsidR="00A17F44" w:rsidRDefault="00A17F44" w:rsidP="00A17F44">
      <w:pPr>
        <w:rPr>
          <w:sz w:val="20"/>
        </w:rPr>
      </w:pPr>
    </w:p>
    <w:p w:rsidR="00A17F44" w:rsidRPr="00D23A8E" w:rsidRDefault="00A17F44" w:rsidP="00A17F44">
      <w:pPr>
        <w:rPr>
          <w:sz w:val="20"/>
        </w:rPr>
      </w:pPr>
      <w:r w:rsidRPr="00D23A8E">
        <w:rPr>
          <w:sz w:val="20"/>
        </w:rPr>
        <w:t>Signatures:</w:t>
      </w:r>
      <w:r w:rsidRPr="00D23A8E">
        <w:rPr>
          <w:sz w:val="20"/>
        </w:rPr>
        <w:tab/>
        <w:t>______________________________________</w:t>
      </w:r>
      <w:r>
        <w:rPr>
          <w:sz w:val="20"/>
        </w:rPr>
        <w:t>______</w:t>
      </w:r>
      <w:r w:rsidRPr="00D23A8E">
        <w:rPr>
          <w:sz w:val="20"/>
        </w:rPr>
        <w:tab/>
        <w:t>________________________</w:t>
      </w:r>
    </w:p>
    <w:p w:rsidR="00A17F44" w:rsidRDefault="00A17F44" w:rsidP="00A17F44">
      <w:pPr>
        <w:rPr>
          <w:sz w:val="20"/>
        </w:rPr>
      </w:pPr>
      <w:r w:rsidRPr="00D23A8E">
        <w:rPr>
          <w:sz w:val="20"/>
        </w:rPr>
        <w:tab/>
      </w:r>
      <w:r w:rsidRPr="00D23A8E">
        <w:rPr>
          <w:sz w:val="20"/>
        </w:rPr>
        <w:tab/>
        <w:t>Student</w:t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>
        <w:rPr>
          <w:sz w:val="20"/>
        </w:rPr>
        <w:tab/>
      </w:r>
      <w:r w:rsidRPr="00D23A8E">
        <w:rPr>
          <w:sz w:val="20"/>
        </w:rPr>
        <w:t>Date</w:t>
      </w:r>
    </w:p>
    <w:p w:rsidR="00A17F44" w:rsidRPr="00D17CA1" w:rsidRDefault="00A17F44" w:rsidP="00A17F44">
      <w:pPr>
        <w:rPr>
          <w:sz w:val="16"/>
          <w:szCs w:val="16"/>
        </w:rPr>
      </w:pPr>
      <w:r w:rsidRPr="00D17CA1">
        <w:rPr>
          <w:sz w:val="16"/>
          <w:szCs w:val="16"/>
        </w:rPr>
        <w:t xml:space="preserve">* Note:  Your signature does not necessarily indicate agreement with the appraisal, only that it has been discussed. You are obligated to acknowledge the appraisal if </w:t>
      </w:r>
      <w:r>
        <w:rPr>
          <w:sz w:val="16"/>
          <w:szCs w:val="16"/>
        </w:rPr>
        <w:t>it has been discussed</w:t>
      </w:r>
      <w:r w:rsidRPr="00D17CA1">
        <w:rPr>
          <w:sz w:val="16"/>
          <w:szCs w:val="16"/>
        </w:rPr>
        <w:t xml:space="preserve"> with you.</w:t>
      </w:r>
    </w:p>
    <w:p w:rsidR="00A17F44" w:rsidRDefault="00A17F44" w:rsidP="00A17F44">
      <w:pPr>
        <w:rPr>
          <w:sz w:val="20"/>
        </w:rPr>
      </w:pPr>
    </w:p>
    <w:p w:rsidR="00A17F44" w:rsidRDefault="00A17F44" w:rsidP="00A17F44">
      <w:pPr>
        <w:rPr>
          <w:sz w:val="20"/>
        </w:rPr>
      </w:pPr>
      <w:r w:rsidRPr="00D23A8E">
        <w:rPr>
          <w:sz w:val="20"/>
        </w:rPr>
        <w:tab/>
      </w:r>
      <w:r w:rsidRPr="00D23A8E">
        <w:rPr>
          <w:sz w:val="20"/>
        </w:rPr>
        <w:tab/>
        <w:t>______________________________________</w:t>
      </w:r>
      <w:r>
        <w:rPr>
          <w:sz w:val="20"/>
        </w:rPr>
        <w:t>______</w:t>
      </w:r>
      <w:r w:rsidRPr="00D23A8E">
        <w:rPr>
          <w:sz w:val="20"/>
        </w:rPr>
        <w:tab/>
        <w:t>________________________</w:t>
      </w:r>
    </w:p>
    <w:p w:rsidR="00A17F44" w:rsidRPr="00D23A8E" w:rsidRDefault="00A17F44" w:rsidP="00A17F4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Reporting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Faculty</w:t>
          </w:r>
        </w:smartTag>
        <w:smartTag w:uri="urn:schemas-microsoft-com:office:smarttags" w:element="PlaceName">
          <w:r>
            <w:rPr>
              <w:sz w:val="20"/>
            </w:rPr>
            <w:t>/Staff/</w:t>
          </w:r>
        </w:smartTag>
        <w:smartTag w:uri="urn:schemas-microsoft-com:office:smarttags" w:element="PlaceType">
          <w:r>
            <w:rPr>
              <w:sz w:val="20"/>
            </w:rPr>
            <w:t>School</w:t>
          </w:r>
        </w:smartTag>
      </w:smartTag>
      <w:r>
        <w:rPr>
          <w:sz w:val="20"/>
        </w:rPr>
        <w:t xml:space="preserve"> Personnel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</w:p>
    <w:p w:rsidR="00A17F44" w:rsidRDefault="00A17F44" w:rsidP="00A17F4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36195</wp:posOffset>
                </wp:positionV>
                <wp:extent cx="4267200" cy="1329690"/>
                <wp:effectExtent l="7620" t="7620" r="11430" b="5715"/>
                <wp:wrapTight wrapText="bothSides">
                  <wp:wrapPolygon edited="0">
                    <wp:start x="-225" y="-227"/>
                    <wp:lineTo x="-225" y="21373"/>
                    <wp:lineTo x="21825" y="21373"/>
                    <wp:lineTo x="21825" y="-227"/>
                    <wp:lineTo x="-225" y="-227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44" w:rsidRDefault="00A17F44" w:rsidP="00A17F44">
                            <w:r>
                              <w:t>SCE Use Only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A17F44" w:rsidRDefault="00A17F44" w:rsidP="00A17F4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129.6pt;margin-top:2.85pt;width:336pt;height:10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">
                <v:textbox>
                  <w:txbxContent>
                    <w:p w:rsidR="00A17F44" w:rsidRDefault="00A17F44" w:rsidP="00A17F44">
                      <w:r>
                        <w:t>S</w:t>
                      </w:r>
                      <w:r>
                        <w:t>CE Use Only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A17F44" w:rsidRDefault="00A17F44" w:rsidP="00A17F4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17F44" w:rsidRDefault="00A17F44" w:rsidP="00A17F44">
      <w:r>
        <w:t>Please send original to:</w:t>
      </w:r>
    </w:p>
    <w:p w:rsidR="00A17F44" w:rsidRDefault="00A17F44" w:rsidP="00A17F44">
      <w:r>
        <w:t>Jay Mann</w:t>
      </w:r>
    </w:p>
    <w:p w:rsidR="00A17F44" w:rsidRDefault="00A17F44" w:rsidP="00A17F44">
      <w:r>
        <w:t>120B Education</w:t>
      </w:r>
    </w:p>
    <w:p w:rsidR="00A17F44" w:rsidRDefault="00A17F44" w:rsidP="00A17F44">
      <w:r>
        <w:t>School &amp; Community Experiences</w:t>
      </w:r>
    </w:p>
    <w:p w:rsidR="00A746FD" w:rsidRDefault="00A17F44" w:rsidP="00A17F44">
      <w:r>
        <w:t>College of Education</w:t>
      </w:r>
    </w:p>
    <w:sectPr w:rsidR="00A7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44"/>
    <w:rsid w:val="0099039B"/>
    <w:rsid w:val="009F5704"/>
    <w:rsid w:val="00A17F44"/>
    <w:rsid w:val="00A746FD"/>
    <w:rsid w:val="00D9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.illinois.edu/sce/elementary-program/student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McMurry, Sunny Olivia</dc:creator>
  <cp:lastModifiedBy>McMurry, Sunny Olivia</cp:lastModifiedBy>
  <cp:revision>2</cp:revision>
  <cp:lastPrinted>2016-01-25T20:07:00Z</cp:lastPrinted>
  <dcterms:created xsi:type="dcterms:W3CDTF">2016-01-27T14:09:00Z</dcterms:created>
  <dcterms:modified xsi:type="dcterms:W3CDTF">2016-01-27T14:09:00Z</dcterms:modified>
</cp:coreProperties>
</file>